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4322C4">
              <w:rPr>
                <w:sz w:val="24"/>
                <w:szCs w:val="24"/>
              </w:rPr>
              <w:t>06</w:t>
            </w:r>
            <w:r w:rsidR="007050F8">
              <w:rPr>
                <w:sz w:val="24"/>
                <w:szCs w:val="24"/>
              </w:rPr>
              <w:t>.2018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4322C4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 w:rsidR="004322C4">
              <w:rPr>
                <w:b/>
                <w:sz w:val="24"/>
                <w:szCs w:val="24"/>
              </w:rPr>
              <w:t xml:space="preserve"> Mathematik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4322C4">
              <w:rPr>
                <w:b/>
                <w:sz w:val="24"/>
                <w:szCs w:val="24"/>
              </w:rPr>
              <w:t xml:space="preserve"> 10. Klasse –</w:t>
            </w:r>
            <w:r w:rsidR="00A50EAF">
              <w:rPr>
                <w:b/>
                <w:sz w:val="24"/>
                <w:szCs w:val="24"/>
              </w:rPr>
              <w:t xml:space="preserve"> G</w:t>
            </w:r>
            <w:r w:rsidR="004322C4">
              <w:rPr>
                <w:b/>
                <w:sz w:val="24"/>
                <w:szCs w:val="24"/>
              </w:rPr>
              <w:t>- Kurs</w:t>
            </w:r>
          </w:p>
        </w:tc>
      </w:tr>
    </w:tbl>
    <w:p w:rsidR="00564AC0" w:rsidRDefault="00564AC0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686"/>
        <w:gridCol w:w="832"/>
        <w:gridCol w:w="3544"/>
        <w:gridCol w:w="2126"/>
        <w:gridCol w:w="2552"/>
        <w:gridCol w:w="2268"/>
        <w:gridCol w:w="1824"/>
      </w:tblGrid>
      <w:tr w:rsidR="00383563" w:rsidRPr="006F085D" w:rsidTr="00752928">
        <w:tc>
          <w:tcPr>
            <w:tcW w:w="16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</w:t>
            </w:r>
            <w:r w:rsidR="00383563">
              <w:rPr>
                <w:b/>
              </w:rPr>
              <w:t xml:space="preserve"> – Die </w:t>
            </w:r>
            <w:proofErr w:type="spellStart"/>
            <w:r w:rsidR="00383563">
              <w:rPr>
                <w:b/>
              </w:rPr>
              <w:t>SuS</w:t>
            </w:r>
            <w:proofErr w:type="spellEnd"/>
            <w:r w:rsidR="00383563">
              <w:rPr>
                <w:b/>
              </w:rPr>
              <w:t>…</w:t>
            </w:r>
            <w:r w:rsidRPr="006F085D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55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6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1824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Fächerüber</w:t>
            </w:r>
            <w:r w:rsidR="00752928">
              <w:rPr>
                <w:b/>
              </w:rPr>
              <w:t>-</w:t>
            </w:r>
            <w:r w:rsidRPr="006F085D">
              <w:rPr>
                <w:b/>
              </w:rPr>
              <w:t xml:space="preserve">greifende Bezüge </w:t>
            </w:r>
          </w:p>
        </w:tc>
      </w:tr>
      <w:tr w:rsidR="00A50EAF" w:rsidTr="00752928">
        <w:trPr>
          <w:trHeight w:val="1094"/>
        </w:trPr>
        <w:tc>
          <w:tcPr>
            <w:tcW w:w="1686" w:type="dxa"/>
            <w:tcBorders>
              <w:top w:val="single" w:sz="12" w:space="0" w:color="70AD47" w:themeColor="accent6"/>
            </w:tcBorders>
          </w:tcPr>
          <w:p w:rsidR="00A50EAF" w:rsidRDefault="00A50EAF" w:rsidP="00564AC0"/>
          <w:p w:rsidR="00A50EAF" w:rsidRDefault="00A50EAF" w:rsidP="00564AC0">
            <w:r>
              <w:t>Sommerferien bis Herbstferien</w:t>
            </w:r>
          </w:p>
        </w:tc>
        <w:tc>
          <w:tcPr>
            <w:tcW w:w="832" w:type="dxa"/>
            <w:tcBorders>
              <w:top w:val="single" w:sz="12" w:space="0" w:color="70AD47" w:themeColor="accent6"/>
            </w:tcBorders>
          </w:tcPr>
          <w:p w:rsidR="00A50EAF" w:rsidRDefault="00A50EAF" w:rsidP="00564AC0"/>
          <w:p w:rsidR="00A50EAF" w:rsidRDefault="00A50EAF" w:rsidP="00564AC0">
            <w:r>
              <w:t>7</w:t>
            </w:r>
          </w:p>
          <w:p w:rsidR="00A50EAF" w:rsidRDefault="00A50EAF" w:rsidP="00564AC0"/>
          <w:p w:rsidR="00A50EAF" w:rsidRDefault="00A50EAF" w:rsidP="00564AC0"/>
        </w:tc>
        <w:tc>
          <w:tcPr>
            <w:tcW w:w="3544" w:type="dxa"/>
            <w:tcBorders>
              <w:top w:val="single" w:sz="12" w:space="0" w:color="70AD47" w:themeColor="accent6"/>
            </w:tcBorders>
          </w:tcPr>
          <w:p w:rsidR="00A50EAF" w:rsidRDefault="00E80254" w:rsidP="00E80254">
            <w:pPr>
              <w:pStyle w:val="Listenabsatz"/>
              <w:ind w:left="-108"/>
            </w:pPr>
            <w:r>
              <w:t xml:space="preserve">… </w:t>
            </w:r>
            <w:r>
              <w:t>unterscheiden Quadratzahlen von Zahlen, deren Wurzel eine irrationale Zahl ist</w:t>
            </w:r>
          </w:p>
          <w:p w:rsidR="00E80254" w:rsidRDefault="00E80254" w:rsidP="00E80254">
            <w:pPr>
              <w:pStyle w:val="Listenabsatz"/>
              <w:ind w:left="-108"/>
            </w:pPr>
            <w:r>
              <w:t xml:space="preserve">… </w:t>
            </w:r>
            <w:r>
              <w:t>stellen Zahlen im Dualsystem dar</w:t>
            </w:r>
          </w:p>
          <w:p w:rsidR="00E80254" w:rsidRDefault="00E80254" w:rsidP="00E80254">
            <w:pPr>
              <w:pStyle w:val="Listenabsatz"/>
              <w:ind w:left="-108"/>
            </w:pPr>
            <w:r>
              <w:t xml:space="preserve">… </w:t>
            </w:r>
            <w:r>
              <w:t>stellen Sachzusammenhänge durch Funktionen dar</w:t>
            </w:r>
          </w:p>
        </w:tc>
        <w:tc>
          <w:tcPr>
            <w:tcW w:w="2126" w:type="dxa"/>
            <w:tcBorders>
              <w:top w:val="single" w:sz="12" w:space="0" w:color="70AD47" w:themeColor="accent6"/>
            </w:tcBorders>
          </w:tcPr>
          <w:p w:rsidR="00A50EAF" w:rsidRDefault="00A50EAF" w:rsidP="00A50EAF">
            <w:pPr>
              <w:pStyle w:val="Listenabsatz"/>
              <w:numPr>
                <w:ilvl w:val="0"/>
                <w:numId w:val="1"/>
              </w:numPr>
              <w:ind w:left="176" w:hanging="284"/>
            </w:pPr>
            <w:r>
              <w:t>Quadratzahlen</w:t>
            </w:r>
          </w:p>
          <w:p w:rsidR="00A50EAF" w:rsidRDefault="00A50EAF" w:rsidP="00A50EAF">
            <w:pPr>
              <w:pStyle w:val="Listenabsatz"/>
              <w:numPr>
                <w:ilvl w:val="0"/>
                <w:numId w:val="1"/>
              </w:numPr>
              <w:ind w:left="176" w:hanging="284"/>
            </w:pPr>
            <w:r>
              <w:t>Terme und Gleichungen</w:t>
            </w:r>
          </w:p>
        </w:tc>
        <w:tc>
          <w:tcPr>
            <w:tcW w:w="2552" w:type="dxa"/>
            <w:tcBorders>
              <w:top w:val="single" w:sz="12" w:space="0" w:color="70AD47" w:themeColor="accent6"/>
            </w:tcBorders>
          </w:tcPr>
          <w:p w:rsidR="00A50EAF" w:rsidRDefault="00467C1C" w:rsidP="00564AC0">
            <w:r>
              <w:t>…</w:t>
            </w:r>
            <w:r>
              <w:t>nutzen Variablen zur Überprüfung der Allgemeingültigkeit von Aussagen</w:t>
            </w:r>
          </w:p>
        </w:tc>
        <w:tc>
          <w:tcPr>
            <w:tcW w:w="2268" w:type="dxa"/>
            <w:tcBorders>
              <w:top w:val="single" w:sz="12" w:space="0" w:color="70AD47" w:themeColor="accent6"/>
            </w:tcBorders>
          </w:tcPr>
          <w:p w:rsidR="00A50EAF" w:rsidRDefault="004F7623" w:rsidP="00564AC0">
            <w:r>
              <w:t>Kosten für den Führerschein</w:t>
            </w:r>
          </w:p>
          <w:p w:rsidR="004F7623" w:rsidRDefault="004F7623" w:rsidP="00564AC0">
            <w:r>
              <w:t>Faustformeln im Straßenverkehr</w:t>
            </w:r>
          </w:p>
        </w:tc>
        <w:tc>
          <w:tcPr>
            <w:tcW w:w="1824" w:type="dxa"/>
            <w:tcBorders>
              <w:top w:val="single" w:sz="12" w:space="0" w:color="70AD47" w:themeColor="accent6"/>
            </w:tcBorders>
          </w:tcPr>
          <w:p w:rsidR="00A50EAF" w:rsidRDefault="004F7623" w:rsidP="00564AC0">
            <w:r>
              <w:t>Informatik</w:t>
            </w:r>
          </w:p>
          <w:p w:rsidR="004F7623" w:rsidRDefault="004F7623" w:rsidP="00564AC0">
            <w:r>
              <w:t>Physik</w:t>
            </w:r>
          </w:p>
        </w:tc>
      </w:tr>
      <w:tr w:rsidR="00A50EAF" w:rsidTr="00752928">
        <w:trPr>
          <w:trHeight w:val="806"/>
        </w:trPr>
        <w:tc>
          <w:tcPr>
            <w:tcW w:w="1686" w:type="dxa"/>
            <w:vMerge w:val="restart"/>
          </w:tcPr>
          <w:p w:rsidR="00A50EAF" w:rsidRPr="00E0141A" w:rsidRDefault="00A50EAF" w:rsidP="00564AC0"/>
          <w:p w:rsidR="00A50EAF" w:rsidRPr="00E0141A" w:rsidRDefault="00A50EAF" w:rsidP="00564AC0">
            <w:r w:rsidRPr="00E0141A">
              <w:t>Herbstferien bis Zeugnisferien</w:t>
            </w:r>
          </w:p>
        </w:tc>
        <w:tc>
          <w:tcPr>
            <w:tcW w:w="832" w:type="dxa"/>
          </w:tcPr>
          <w:p w:rsidR="00A50EAF" w:rsidRDefault="00A50EAF" w:rsidP="00564AC0"/>
          <w:p w:rsidR="00A50EAF" w:rsidRDefault="00A50EAF" w:rsidP="00564AC0">
            <w:r>
              <w:t>5</w:t>
            </w:r>
          </w:p>
          <w:p w:rsidR="00A50EAF" w:rsidRDefault="00A50EAF" w:rsidP="00564AC0"/>
        </w:tc>
        <w:tc>
          <w:tcPr>
            <w:tcW w:w="3544" w:type="dxa"/>
          </w:tcPr>
          <w:p w:rsidR="00A50EAF" w:rsidRDefault="00E80254" w:rsidP="00E80254">
            <w:pPr>
              <w:ind w:left="-108"/>
            </w:pPr>
            <w:r>
              <w:t xml:space="preserve">… </w:t>
            </w:r>
            <w:r>
              <w:t>berechnen Streckenlänge</w:t>
            </w:r>
            <w:r>
              <w:t>n mit dem Satz des Pythagoras</w:t>
            </w:r>
          </w:p>
        </w:tc>
        <w:tc>
          <w:tcPr>
            <w:tcW w:w="2126" w:type="dxa"/>
          </w:tcPr>
          <w:p w:rsidR="00A50EAF" w:rsidRDefault="00A50EAF" w:rsidP="00B52721">
            <w:r>
              <w:t>Berechnungen an Dreiecken</w:t>
            </w:r>
          </w:p>
        </w:tc>
        <w:tc>
          <w:tcPr>
            <w:tcW w:w="2552" w:type="dxa"/>
          </w:tcPr>
          <w:p w:rsidR="00A50EAF" w:rsidRDefault="00467C1C" w:rsidP="00564AC0">
            <w:r>
              <w:t xml:space="preserve">… </w:t>
            </w:r>
            <w:r>
              <w:t>nutzen eine Formelsammlung</w:t>
            </w:r>
          </w:p>
        </w:tc>
        <w:tc>
          <w:tcPr>
            <w:tcW w:w="2268" w:type="dxa"/>
          </w:tcPr>
          <w:p w:rsidR="00A50EAF" w:rsidRDefault="004F7623" w:rsidP="00564AC0">
            <w:r>
              <w:t>Satz des Pythagoras im Hoch- und Tiefbau</w:t>
            </w:r>
          </w:p>
        </w:tc>
        <w:tc>
          <w:tcPr>
            <w:tcW w:w="1824" w:type="dxa"/>
          </w:tcPr>
          <w:p w:rsidR="00A50EAF" w:rsidRDefault="004F7623" w:rsidP="00564AC0">
            <w:r>
              <w:t>Arbeit/ Wirtschaft</w:t>
            </w:r>
          </w:p>
          <w:p w:rsidR="004F7623" w:rsidRDefault="004F7623" w:rsidP="00564AC0"/>
        </w:tc>
      </w:tr>
      <w:tr w:rsidR="00A50EAF" w:rsidTr="00752928">
        <w:tc>
          <w:tcPr>
            <w:tcW w:w="1686" w:type="dxa"/>
            <w:vMerge/>
          </w:tcPr>
          <w:p w:rsidR="00A50EAF" w:rsidRPr="00E0141A" w:rsidRDefault="00A50EAF" w:rsidP="00564AC0"/>
        </w:tc>
        <w:tc>
          <w:tcPr>
            <w:tcW w:w="832" w:type="dxa"/>
          </w:tcPr>
          <w:p w:rsidR="00A50EAF" w:rsidRDefault="00A50EAF" w:rsidP="00564AC0">
            <w:r>
              <w:t>5</w:t>
            </w:r>
          </w:p>
          <w:p w:rsidR="00A50EAF" w:rsidRDefault="00A50EAF" w:rsidP="00564AC0"/>
        </w:tc>
        <w:tc>
          <w:tcPr>
            <w:tcW w:w="3544" w:type="dxa"/>
          </w:tcPr>
          <w:p w:rsidR="00A50EAF" w:rsidRDefault="00E80254" w:rsidP="00564AC0">
            <w:r>
              <w:t>…</w:t>
            </w:r>
            <w:r>
              <w:t xml:space="preserve">bestimmen näherungsweise den Flächeninhalt nicht geradlinig </w:t>
            </w:r>
            <w:proofErr w:type="spellStart"/>
            <w:r>
              <w:t>be</w:t>
            </w:r>
            <w:proofErr w:type="spellEnd"/>
            <w:r>
              <w:t xml:space="preserve">- </w:t>
            </w:r>
            <w:proofErr w:type="spellStart"/>
            <w:r>
              <w:t>grenzter</w:t>
            </w:r>
            <w:proofErr w:type="spellEnd"/>
            <w:r>
              <w:t xml:space="preserve"> Flächen</w:t>
            </w:r>
          </w:p>
          <w:p w:rsidR="00E80254" w:rsidRDefault="00E80254" w:rsidP="00564AC0">
            <w:r>
              <w:t>…</w:t>
            </w:r>
            <w:r>
              <w:t>berechnen Flächeninhalt und Umfang zusammengesetzter Figuren</w:t>
            </w:r>
          </w:p>
          <w:p w:rsidR="00E80254" w:rsidRDefault="00E80254" w:rsidP="00564AC0">
            <w:r>
              <w:t>…</w:t>
            </w:r>
            <w:r>
              <w:t>berechnen Volumen und Oberfläche der Pyramide sowie zusammengesetzter Körper</w:t>
            </w:r>
          </w:p>
        </w:tc>
        <w:tc>
          <w:tcPr>
            <w:tcW w:w="2126" w:type="dxa"/>
          </w:tcPr>
          <w:p w:rsidR="00A50EAF" w:rsidRDefault="00A50EAF" w:rsidP="00B52721">
            <w:r>
              <w:t>Fläche/ Flächeninhalt, Pyramide</w:t>
            </w:r>
          </w:p>
        </w:tc>
        <w:tc>
          <w:tcPr>
            <w:tcW w:w="2552" w:type="dxa"/>
          </w:tcPr>
          <w:p w:rsidR="00A50EAF" w:rsidRDefault="00467C1C" w:rsidP="00564AC0">
            <w:r>
              <w:t xml:space="preserve">.. </w:t>
            </w:r>
            <w:r>
              <w:t>nutzen die Standardfunktionen des Taschenrechners</w:t>
            </w:r>
          </w:p>
        </w:tc>
        <w:tc>
          <w:tcPr>
            <w:tcW w:w="2268" w:type="dxa"/>
          </w:tcPr>
          <w:p w:rsidR="00A50EAF" w:rsidRDefault="004F7623" w:rsidP="00564AC0">
            <w:r>
              <w:t xml:space="preserve">Flächen- und </w:t>
            </w:r>
            <w:proofErr w:type="spellStart"/>
            <w:r>
              <w:t>Körperberchnung</w:t>
            </w:r>
            <w:proofErr w:type="spellEnd"/>
            <w:r>
              <w:t xml:space="preserve"> im Hoch- und Tiefbau</w:t>
            </w:r>
          </w:p>
        </w:tc>
        <w:tc>
          <w:tcPr>
            <w:tcW w:w="1824" w:type="dxa"/>
          </w:tcPr>
          <w:p w:rsidR="004F7623" w:rsidRDefault="004F7623" w:rsidP="004F7623">
            <w:r>
              <w:t>Arbeit/ Wirtschaft</w:t>
            </w:r>
          </w:p>
          <w:p w:rsidR="00A50EAF" w:rsidRDefault="00A50EAF" w:rsidP="00564AC0"/>
        </w:tc>
      </w:tr>
      <w:tr w:rsidR="00467C1C" w:rsidTr="00752928">
        <w:tc>
          <w:tcPr>
            <w:tcW w:w="1686" w:type="dxa"/>
            <w:vMerge/>
          </w:tcPr>
          <w:p w:rsidR="00467C1C" w:rsidRPr="00E0141A" w:rsidRDefault="00467C1C" w:rsidP="00564AC0"/>
        </w:tc>
        <w:tc>
          <w:tcPr>
            <w:tcW w:w="832" w:type="dxa"/>
          </w:tcPr>
          <w:p w:rsidR="00467C1C" w:rsidRDefault="00467C1C" w:rsidP="00564AC0">
            <w:r>
              <w:t>3</w:t>
            </w:r>
          </w:p>
        </w:tc>
        <w:tc>
          <w:tcPr>
            <w:tcW w:w="3544" w:type="dxa"/>
          </w:tcPr>
          <w:p w:rsidR="00467C1C" w:rsidRDefault="00467C1C" w:rsidP="00564AC0">
            <w:r>
              <w:t xml:space="preserve">… </w:t>
            </w:r>
            <w:r>
              <w:t>vergleichen verschiedene Darstellungen derselben Daten</w:t>
            </w:r>
          </w:p>
          <w:p w:rsidR="00467C1C" w:rsidRDefault="00467C1C" w:rsidP="00564AC0">
            <w:r>
              <w:t>…</w:t>
            </w:r>
            <w:r>
              <w:t xml:space="preserve">beurteilen Daten und Grafiken in Medien auf mögliche Fehlschlüsse (Stichprobenrepräsentativität, Klassenbildung, grafische </w:t>
            </w:r>
            <w:r>
              <w:lastRenderedPageBreak/>
              <w:t>Verzerrung, Verteilungsschiefe)</w:t>
            </w:r>
          </w:p>
          <w:p w:rsidR="00467C1C" w:rsidRDefault="00467C1C" w:rsidP="00564AC0">
            <w:r>
              <w:t>…</w:t>
            </w:r>
            <w:r>
              <w:t xml:space="preserve">führen zweistufige Zufallsexperimente durch und stellen sie im Baumdiagramm dar (zwei Münzen, zwei Würfel, Kombination </w:t>
            </w:r>
            <w:proofErr w:type="spellStart"/>
            <w:r>
              <w:t>MünzeWürfel</w:t>
            </w:r>
            <w:proofErr w:type="spellEnd"/>
            <w:r>
              <w:t>)</w:t>
            </w:r>
          </w:p>
          <w:p w:rsidR="00467C1C" w:rsidRDefault="00467C1C" w:rsidP="00564AC0">
            <w:r>
              <w:t>…</w:t>
            </w:r>
            <w:r>
              <w:t>bestimmen die Wahrscheinlichkeiten zweistufiger Zufallsexperimente</w:t>
            </w:r>
          </w:p>
        </w:tc>
        <w:tc>
          <w:tcPr>
            <w:tcW w:w="2126" w:type="dxa"/>
          </w:tcPr>
          <w:p w:rsidR="00467C1C" w:rsidRDefault="00467C1C" w:rsidP="00B52721">
            <w:r>
              <w:lastRenderedPageBreak/>
              <w:t>Daten und Zufall</w:t>
            </w:r>
          </w:p>
        </w:tc>
        <w:tc>
          <w:tcPr>
            <w:tcW w:w="2552" w:type="dxa"/>
          </w:tcPr>
          <w:p w:rsidR="00467C1C" w:rsidRDefault="00467C1C" w:rsidP="00942762">
            <w:r>
              <w:t xml:space="preserve">… </w:t>
            </w:r>
            <w:r>
              <w:t xml:space="preserve">wählen die Darstellung </w:t>
            </w:r>
            <w:proofErr w:type="spellStart"/>
            <w:r>
              <w:t>adressa</w:t>
            </w:r>
            <w:proofErr w:type="spellEnd"/>
            <w:r>
              <w:t xml:space="preserve">- </w:t>
            </w:r>
            <w:proofErr w:type="spellStart"/>
            <w:r>
              <w:t>tengerecht</w:t>
            </w:r>
            <w:proofErr w:type="spellEnd"/>
            <w:r>
              <w:t xml:space="preserve"> und sachangemessen aus</w:t>
            </w:r>
          </w:p>
        </w:tc>
        <w:tc>
          <w:tcPr>
            <w:tcW w:w="2268" w:type="dxa"/>
          </w:tcPr>
          <w:p w:rsidR="00467C1C" w:rsidRDefault="00467C1C" w:rsidP="00564AC0">
            <w:r>
              <w:t>Glücksspiele</w:t>
            </w:r>
          </w:p>
        </w:tc>
        <w:tc>
          <w:tcPr>
            <w:tcW w:w="1824" w:type="dxa"/>
          </w:tcPr>
          <w:p w:rsidR="00467C1C" w:rsidRDefault="00467C1C" w:rsidP="00564AC0">
            <w:r>
              <w:t>Informatik</w:t>
            </w:r>
          </w:p>
        </w:tc>
      </w:tr>
      <w:tr w:rsidR="00467C1C" w:rsidTr="00752928">
        <w:tc>
          <w:tcPr>
            <w:tcW w:w="1686" w:type="dxa"/>
            <w:vMerge w:val="restart"/>
          </w:tcPr>
          <w:p w:rsidR="00467C1C" w:rsidRDefault="00467C1C" w:rsidP="00564AC0">
            <w:r>
              <w:lastRenderedPageBreak/>
              <w:t>Zeugnisferien bis Osterferien</w:t>
            </w:r>
          </w:p>
        </w:tc>
        <w:tc>
          <w:tcPr>
            <w:tcW w:w="832" w:type="dxa"/>
          </w:tcPr>
          <w:p w:rsidR="00467C1C" w:rsidRDefault="00467C1C" w:rsidP="00564AC0">
            <w:r>
              <w:t>4</w:t>
            </w:r>
          </w:p>
          <w:p w:rsidR="00467C1C" w:rsidRDefault="00467C1C" w:rsidP="00564AC0"/>
        </w:tc>
        <w:tc>
          <w:tcPr>
            <w:tcW w:w="3544" w:type="dxa"/>
          </w:tcPr>
          <w:p w:rsidR="00467C1C" w:rsidRDefault="00467C1C" w:rsidP="00467C1C">
            <w:pPr>
              <w:pStyle w:val="Listenabsatz"/>
              <w:ind w:left="-108"/>
            </w:pPr>
            <w:r>
              <w:t>…</w:t>
            </w:r>
            <w:r>
              <w:t xml:space="preserve"> lösen lineare Gleichungen</w:t>
            </w:r>
          </w:p>
          <w:p w:rsidR="00467C1C" w:rsidRDefault="00467C1C" w:rsidP="00467C1C">
            <w:pPr>
              <w:pStyle w:val="Listenabsatz"/>
              <w:ind w:left="-108"/>
            </w:pPr>
            <w:r>
              <w:t xml:space="preserve">… </w:t>
            </w:r>
            <w:r>
              <w:t xml:space="preserve">lösen lineare Gleichungssysteme </w:t>
            </w:r>
            <w:r>
              <w:t>[…]</w:t>
            </w:r>
            <w:r>
              <w:t xml:space="preserve"> durch Probieren, grafisch und algebraisch und untersuchen die Anzahl der Lösungen</w:t>
            </w:r>
          </w:p>
          <w:p w:rsidR="00467C1C" w:rsidRDefault="00467C1C" w:rsidP="00467C1C">
            <w:pPr>
              <w:pStyle w:val="Listenabsatz"/>
              <w:ind w:left="-108"/>
            </w:pPr>
            <w:r>
              <w:t xml:space="preserve">… </w:t>
            </w:r>
            <w:r>
              <w:t>stellen Zusammenhänge durch lineare Gleichungssysteme dar</w:t>
            </w:r>
          </w:p>
        </w:tc>
        <w:tc>
          <w:tcPr>
            <w:tcW w:w="2126" w:type="dxa"/>
          </w:tcPr>
          <w:p w:rsidR="00467C1C" w:rsidRDefault="00467C1C" w:rsidP="004F7623">
            <w:pPr>
              <w:pStyle w:val="Listenabsatz"/>
              <w:numPr>
                <w:ilvl w:val="0"/>
                <w:numId w:val="2"/>
              </w:numPr>
              <w:ind w:left="176" w:hanging="284"/>
            </w:pPr>
            <w:r>
              <w:t>Potenzen</w:t>
            </w:r>
          </w:p>
          <w:p w:rsidR="00467C1C" w:rsidRDefault="00467C1C" w:rsidP="004F7623">
            <w:pPr>
              <w:pStyle w:val="Listenabsatz"/>
              <w:numPr>
                <w:ilvl w:val="0"/>
                <w:numId w:val="2"/>
              </w:numPr>
              <w:ind w:left="176" w:hanging="284"/>
            </w:pPr>
            <w:r>
              <w:t>Funktionaler Zusammenhang</w:t>
            </w:r>
          </w:p>
        </w:tc>
        <w:tc>
          <w:tcPr>
            <w:tcW w:w="2552" w:type="dxa"/>
          </w:tcPr>
          <w:p w:rsidR="00467C1C" w:rsidRDefault="00467C1C" w:rsidP="00564AC0">
            <w:r>
              <w:t xml:space="preserve">… </w:t>
            </w:r>
            <w:r>
              <w:t>stellen Sachzusammenhänge durch Funktionen dar</w:t>
            </w:r>
          </w:p>
        </w:tc>
        <w:tc>
          <w:tcPr>
            <w:tcW w:w="2268" w:type="dxa"/>
          </w:tcPr>
          <w:p w:rsidR="00467C1C" w:rsidRDefault="00467C1C" w:rsidP="00C963D4">
            <w:r>
              <w:t>Binäre Schreibweise</w:t>
            </w:r>
          </w:p>
        </w:tc>
        <w:tc>
          <w:tcPr>
            <w:tcW w:w="1824" w:type="dxa"/>
          </w:tcPr>
          <w:p w:rsidR="00467C1C" w:rsidRDefault="00467C1C" w:rsidP="00C963D4">
            <w:r>
              <w:t>Informatik</w:t>
            </w:r>
          </w:p>
        </w:tc>
      </w:tr>
      <w:tr w:rsidR="00467C1C" w:rsidTr="00752928">
        <w:tc>
          <w:tcPr>
            <w:tcW w:w="1686" w:type="dxa"/>
            <w:vMerge/>
          </w:tcPr>
          <w:p w:rsidR="00467C1C" w:rsidRDefault="00467C1C" w:rsidP="00564AC0"/>
        </w:tc>
        <w:tc>
          <w:tcPr>
            <w:tcW w:w="832" w:type="dxa"/>
          </w:tcPr>
          <w:p w:rsidR="00467C1C" w:rsidRDefault="00467C1C" w:rsidP="00564AC0">
            <w:r>
              <w:t>5</w:t>
            </w:r>
          </w:p>
          <w:p w:rsidR="00467C1C" w:rsidRDefault="00467C1C" w:rsidP="00564AC0"/>
        </w:tc>
        <w:tc>
          <w:tcPr>
            <w:tcW w:w="3544" w:type="dxa"/>
          </w:tcPr>
          <w:p w:rsidR="00467C1C" w:rsidRDefault="00467C1C" w:rsidP="00564AC0">
            <w:r>
              <w:t xml:space="preserve">… </w:t>
            </w:r>
            <w:r>
              <w:t>verwenden Prozentrechnung sachgerecht und berechnen Zinsen</w:t>
            </w:r>
          </w:p>
          <w:p w:rsidR="00467C1C" w:rsidRDefault="00467C1C" w:rsidP="00564AC0">
            <w:r>
              <w:t xml:space="preserve">… </w:t>
            </w:r>
            <w:r>
              <w:t>berechnen Zinseszinsen</w:t>
            </w:r>
          </w:p>
        </w:tc>
        <w:tc>
          <w:tcPr>
            <w:tcW w:w="2126" w:type="dxa"/>
          </w:tcPr>
          <w:p w:rsidR="00467C1C" w:rsidRDefault="00467C1C" w:rsidP="00B52721">
            <w:r>
              <w:t>Prozent- und Zinsrechnung</w:t>
            </w:r>
          </w:p>
        </w:tc>
        <w:tc>
          <w:tcPr>
            <w:tcW w:w="2552" w:type="dxa"/>
          </w:tcPr>
          <w:p w:rsidR="00467C1C" w:rsidRDefault="00467C1C" w:rsidP="00564AC0">
            <w:r>
              <w:t>…</w:t>
            </w:r>
            <w:r>
              <w:t xml:space="preserve">entnehmen Informationen aus au- </w:t>
            </w:r>
            <w:proofErr w:type="spellStart"/>
            <w:r>
              <w:t>thentischen</w:t>
            </w:r>
            <w:proofErr w:type="spellEnd"/>
            <w:r>
              <w:t xml:space="preserve"> Texten und Grafiken</w:t>
            </w:r>
          </w:p>
        </w:tc>
        <w:tc>
          <w:tcPr>
            <w:tcW w:w="2268" w:type="dxa"/>
          </w:tcPr>
          <w:p w:rsidR="00467C1C" w:rsidRDefault="00467C1C" w:rsidP="00AC43B8">
            <w:r>
              <w:t>Mengenrabatt</w:t>
            </w:r>
          </w:p>
          <w:p w:rsidR="00467C1C" w:rsidRDefault="00467C1C" w:rsidP="00AC43B8">
            <w:r>
              <w:t>Autokauf</w:t>
            </w:r>
          </w:p>
          <w:p w:rsidR="00467C1C" w:rsidRDefault="00467C1C" w:rsidP="00AC43B8">
            <w:r>
              <w:t>Kredite/ Sparen</w:t>
            </w:r>
          </w:p>
        </w:tc>
        <w:tc>
          <w:tcPr>
            <w:tcW w:w="1824" w:type="dxa"/>
          </w:tcPr>
          <w:p w:rsidR="00467C1C" w:rsidRDefault="00467C1C" w:rsidP="00BA06C7">
            <w:r>
              <w:t>Arbeit/ Wirtschaft</w:t>
            </w:r>
          </w:p>
        </w:tc>
      </w:tr>
      <w:tr w:rsidR="00467C1C" w:rsidTr="00752928">
        <w:tc>
          <w:tcPr>
            <w:tcW w:w="1686" w:type="dxa"/>
          </w:tcPr>
          <w:p w:rsidR="00467C1C" w:rsidRDefault="00467C1C" w:rsidP="00564AC0">
            <w:r>
              <w:t>Osterferien bis Prüfung</w:t>
            </w:r>
          </w:p>
        </w:tc>
        <w:tc>
          <w:tcPr>
            <w:tcW w:w="832" w:type="dxa"/>
          </w:tcPr>
          <w:p w:rsidR="00467C1C" w:rsidRDefault="00467C1C" w:rsidP="00564AC0">
            <w:r>
              <w:t>2</w:t>
            </w:r>
          </w:p>
        </w:tc>
        <w:tc>
          <w:tcPr>
            <w:tcW w:w="3544" w:type="dxa"/>
          </w:tcPr>
          <w:p w:rsidR="00467C1C" w:rsidRDefault="00467C1C" w:rsidP="00564AC0"/>
        </w:tc>
        <w:tc>
          <w:tcPr>
            <w:tcW w:w="2126" w:type="dxa"/>
          </w:tcPr>
          <w:p w:rsidR="00467C1C" w:rsidRDefault="00467C1C" w:rsidP="00564AC0">
            <w:r>
              <w:t>Prüfungs</w:t>
            </w:r>
            <w:r w:rsidR="00752928">
              <w:t>-</w:t>
            </w:r>
            <w:bookmarkStart w:id="0" w:name="_GoBack"/>
            <w:bookmarkEnd w:id="0"/>
            <w:r>
              <w:t>vorbereitung</w:t>
            </w:r>
          </w:p>
        </w:tc>
        <w:tc>
          <w:tcPr>
            <w:tcW w:w="2552" w:type="dxa"/>
          </w:tcPr>
          <w:p w:rsidR="00467C1C" w:rsidRDefault="00467C1C" w:rsidP="00564AC0"/>
        </w:tc>
        <w:tc>
          <w:tcPr>
            <w:tcW w:w="2268" w:type="dxa"/>
          </w:tcPr>
          <w:p w:rsidR="00467C1C" w:rsidRDefault="00467C1C" w:rsidP="00564AC0"/>
        </w:tc>
        <w:tc>
          <w:tcPr>
            <w:tcW w:w="1824" w:type="dxa"/>
          </w:tcPr>
          <w:p w:rsidR="00467C1C" w:rsidRDefault="00467C1C" w:rsidP="00564AC0"/>
        </w:tc>
      </w:tr>
    </w:tbl>
    <w:p w:rsidR="00EE07AB" w:rsidRDefault="00EE07AB" w:rsidP="00564AC0"/>
    <w:p w:rsidR="00E0141A" w:rsidRPr="00564AC0" w:rsidRDefault="00E0141A" w:rsidP="00564AC0">
      <w:r>
        <w:t>Da die Abstände zwischen den Ferien teilweise recht lang sind, wird zusätzlich mit dem Prüfungsvorbereitungsbuch (</w:t>
      </w:r>
      <w:proofErr w:type="spellStart"/>
      <w:r>
        <w:t>zB</w:t>
      </w:r>
      <w:proofErr w:type="spellEnd"/>
      <w:r>
        <w:t xml:space="preserve"> Pauker) über das Jahr verteilt auf die Prüfung vorbereitet.</w:t>
      </w:r>
    </w:p>
    <w:sectPr w:rsidR="00E0141A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17" w:rsidRDefault="00EE2817" w:rsidP="00564AC0">
      <w:pPr>
        <w:spacing w:after="0" w:line="240" w:lineRule="auto"/>
      </w:pPr>
      <w:r>
        <w:separator/>
      </w:r>
    </w:p>
  </w:endnote>
  <w:endnote w:type="continuationSeparator" w:id="0">
    <w:p w:rsidR="00EE2817" w:rsidRDefault="00EE2817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17" w:rsidRDefault="00EE2817" w:rsidP="00564AC0">
      <w:pPr>
        <w:spacing w:after="0" w:line="240" w:lineRule="auto"/>
      </w:pPr>
      <w:r>
        <w:separator/>
      </w:r>
    </w:p>
  </w:footnote>
  <w:footnote w:type="continuationSeparator" w:id="0">
    <w:p w:rsidR="00EE2817" w:rsidRDefault="00EE2817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72"/>
    <w:multiLevelType w:val="hybridMultilevel"/>
    <w:tmpl w:val="9064CE02"/>
    <w:lvl w:ilvl="0" w:tplc="9E34C180">
      <w:start w:val="1"/>
      <w:numFmt w:val="lowerLetter"/>
      <w:lvlText w:val="%1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1930109"/>
    <w:multiLevelType w:val="hybridMultilevel"/>
    <w:tmpl w:val="537650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C0"/>
    <w:rsid w:val="00383563"/>
    <w:rsid w:val="004322C4"/>
    <w:rsid w:val="00467C1C"/>
    <w:rsid w:val="004F7623"/>
    <w:rsid w:val="00564AC0"/>
    <w:rsid w:val="006F085D"/>
    <w:rsid w:val="007050F8"/>
    <w:rsid w:val="00752928"/>
    <w:rsid w:val="008D2AEB"/>
    <w:rsid w:val="00A50EAF"/>
    <w:rsid w:val="00C220F0"/>
    <w:rsid w:val="00E0141A"/>
    <w:rsid w:val="00E733C6"/>
    <w:rsid w:val="00E80254"/>
    <w:rsid w:val="00EE07AB"/>
    <w:rsid w:val="00E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Wüstner</cp:lastModifiedBy>
  <cp:revision>4</cp:revision>
  <cp:lastPrinted>2018-02-20T11:36:00Z</cp:lastPrinted>
  <dcterms:created xsi:type="dcterms:W3CDTF">2018-06-26T08:03:00Z</dcterms:created>
  <dcterms:modified xsi:type="dcterms:W3CDTF">2018-06-26T08:17:00Z</dcterms:modified>
</cp:coreProperties>
</file>